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DDF53" w14:textId="25F5E65C" w:rsidR="00072923" w:rsidRPr="005D559A" w:rsidRDefault="00072923" w:rsidP="00072923">
      <w:pPr>
        <w:tabs>
          <w:tab w:val="left" w:pos="1701"/>
          <w:tab w:val="right" w:pos="9639"/>
        </w:tabs>
        <w:rPr>
          <w:rFonts w:ascii="Arial" w:hAnsi="Arial" w:cs="Arial"/>
          <w:b/>
          <w:sz w:val="22"/>
          <w:lang w:val="en-US"/>
        </w:rPr>
      </w:pPr>
      <w:r w:rsidRPr="005D559A">
        <w:rPr>
          <w:rFonts w:ascii="Arial" w:hAnsi="Arial" w:cs="Arial"/>
          <w:b/>
          <w:sz w:val="22"/>
          <w:lang w:val="en-US"/>
        </w:rPr>
        <w:t>3GPP TSG-RAN WG2 Meeting #12</w:t>
      </w:r>
      <w:r>
        <w:rPr>
          <w:rFonts w:ascii="Arial" w:hAnsi="Arial" w:cs="Arial"/>
          <w:b/>
          <w:sz w:val="22"/>
          <w:lang w:val="en-US"/>
        </w:rPr>
        <w:t>6</w:t>
      </w:r>
      <w:r w:rsidRPr="005D559A">
        <w:rPr>
          <w:rFonts w:ascii="Arial" w:hAnsi="Arial" w:cs="Arial"/>
          <w:b/>
          <w:sz w:val="22"/>
          <w:lang w:val="en-US"/>
        </w:rPr>
        <w:tab/>
      </w:r>
      <w:r w:rsidRPr="00FD51FA">
        <w:rPr>
          <w:rFonts w:ascii="Arial" w:hAnsi="Arial" w:cs="Arial"/>
          <w:b/>
          <w:i/>
          <w:iCs/>
          <w:sz w:val="22"/>
          <w:lang w:val="en-US"/>
        </w:rPr>
        <w:t>R2-24042</w:t>
      </w:r>
      <w:r>
        <w:rPr>
          <w:rFonts w:ascii="Arial" w:hAnsi="Arial" w:cs="Arial"/>
          <w:b/>
          <w:i/>
          <w:iCs/>
          <w:sz w:val="22"/>
          <w:lang w:val="en-US"/>
        </w:rPr>
        <w:t>2</w:t>
      </w:r>
      <w:r w:rsidR="00305C1F">
        <w:rPr>
          <w:rFonts w:ascii="Arial" w:hAnsi="Arial" w:cs="Arial"/>
          <w:b/>
          <w:i/>
          <w:iCs/>
          <w:sz w:val="22"/>
          <w:lang w:val="en-US"/>
        </w:rPr>
        <w:t>2</w:t>
      </w:r>
    </w:p>
    <w:p w14:paraId="188D5862" w14:textId="77777777" w:rsidR="00072923" w:rsidRPr="00641D53" w:rsidRDefault="00072923" w:rsidP="00072923">
      <w:pPr>
        <w:tabs>
          <w:tab w:val="left" w:pos="1701"/>
          <w:tab w:val="right" w:pos="9639"/>
        </w:tabs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sz w:val="22"/>
          <w:lang w:val="en-US"/>
        </w:rPr>
        <w:t>Fukuoka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>
        <w:rPr>
          <w:rFonts w:ascii="Arial" w:hAnsi="Arial" w:cs="Arial"/>
          <w:b/>
          <w:sz w:val="22"/>
          <w:lang w:val="en-US"/>
        </w:rPr>
        <w:t>Japan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>
        <w:rPr>
          <w:rFonts w:ascii="Arial" w:hAnsi="Arial" w:cs="Arial"/>
          <w:b/>
          <w:sz w:val="22"/>
          <w:lang w:val="en-US"/>
        </w:rPr>
        <w:t>May</w:t>
      </w:r>
      <w:r w:rsidRPr="005D559A">
        <w:rPr>
          <w:rFonts w:ascii="Arial" w:hAnsi="Arial" w:cs="Arial"/>
          <w:b/>
          <w:sz w:val="22"/>
          <w:lang w:val="en-US"/>
        </w:rPr>
        <w:t xml:space="preserve"> </w:t>
      </w:r>
      <w:r>
        <w:rPr>
          <w:rFonts w:ascii="Arial" w:hAnsi="Arial" w:cs="Arial"/>
          <w:b/>
          <w:sz w:val="22"/>
          <w:lang w:val="en-US"/>
        </w:rPr>
        <w:t>20-24</w:t>
      </w:r>
      <w:r w:rsidRPr="005D559A">
        <w:rPr>
          <w:rFonts w:ascii="Arial" w:hAnsi="Arial" w:cs="Arial"/>
          <w:b/>
          <w:sz w:val="22"/>
          <w:lang w:val="en-US"/>
        </w:rPr>
        <w:t xml:space="preserve"> 2024</w:t>
      </w:r>
    </w:p>
    <w:p w14:paraId="00C5836B" w14:textId="74E95C8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344F4629" w14:textId="3BF0100E" w:rsidR="00EA2522" w:rsidRPr="00123DC1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666528" w:rsidRPr="00666528">
        <w:rPr>
          <w:rFonts w:ascii="Arial" w:eastAsia="Yu Gothic Medium" w:hAnsi="Arial" w:cs="Arial"/>
          <w:b/>
          <w:bCs/>
          <w:kern w:val="0"/>
          <w:sz w:val="24"/>
          <w:szCs w:val="20"/>
        </w:rPr>
        <w:t>8.3.</w:t>
      </w:r>
      <w:r w:rsidR="00EB35D0">
        <w:rPr>
          <w:rFonts w:ascii="Arial" w:eastAsia="Yu Gothic Medium" w:hAnsi="Arial" w:cs="Arial"/>
          <w:b/>
          <w:bCs/>
          <w:kern w:val="0"/>
          <w:sz w:val="24"/>
          <w:szCs w:val="20"/>
        </w:rPr>
        <w:t>3</w:t>
      </w:r>
    </w:p>
    <w:p w14:paraId="604365C4" w14:textId="25E03D3E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972D69" w:rsidRPr="00972D69">
        <w:rPr>
          <w:rFonts w:ascii="Arial" w:eastAsia="Yu Gothic Medium" w:hAnsi="Arial" w:cs="Arial"/>
          <w:b/>
          <w:bCs/>
          <w:kern w:val="0"/>
          <w:sz w:val="24"/>
          <w:szCs w:val="20"/>
        </w:rPr>
        <w:t>Target scenarios for measurement event prediction</w:t>
      </w:r>
    </w:p>
    <w:p w14:paraId="14A3F180" w14:textId="40F00EF9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65FF164B" w14:textId="57F9E300" w:rsidR="00BA0276" w:rsidRDefault="00DC26B2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  <w:lang w:val="en-US"/>
        </w:rPr>
      </w:pPr>
      <w:r>
        <w:rPr>
          <w:rFonts w:ascii="Arial" w:eastAsia="Yu Gothic Medium" w:hAnsi="Arial"/>
          <w:kern w:val="0"/>
          <w:sz w:val="20"/>
          <w:szCs w:val="20"/>
          <w:lang w:val="en-US"/>
        </w:rPr>
        <w:t>For AIML mobility study, t</w:t>
      </w:r>
      <w:r w:rsidR="00806D6D">
        <w:rPr>
          <w:rFonts w:ascii="Arial" w:eastAsia="Yu Gothic Medium" w:hAnsi="Arial"/>
          <w:kern w:val="0"/>
          <w:sz w:val="20"/>
          <w:szCs w:val="20"/>
          <w:lang w:val="en-US"/>
        </w:rPr>
        <w:t>he following agreements were reached for the discussion of m</w:t>
      </w:r>
      <w:r w:rsidR="00806D6D" w:rsidRPr="00806D6D">
        <w:rPr>
          <w:rFonts w:ascii="Arial" w:eastAsia="Yu Gothic Medium" w:hAnsi="Arial"/>
          <w:kern w:val="0"/>
          <w:sz w:val="20"/>
          <w:szCs w:val="20"/>
          <w:lang w:val="en-US"/>
        </w:rPr>
        <w:t>easurement event predictions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 at the last RAN2 meeting</w:t>
      </w:r>
      <w:r w:rsidR="00806D6D">
        <w:rPr>
          <w:rFonts w:ascii="Arial" w:eastAsia="Yu Gothic Medium" w:hAnsi="Arial"/>
          <w:kern w:val="0"/>
          <w:sz w:val="20"/>
          <w:szCs w:val="20"/>
          <w:lang w:val="en-US"/>
        </w:rPr>
        <w:t>:</w:t>
      </w:r>
    </w:p>
    <w:p w14:paraId="3079761C" w14:textId="77777777" w:rsidR="00806D6D" w:rsidRDefault="00806D6D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  <w:lang w:val="en-US"/>
        </w:rPr>
      </w:pPr>
    </w:p>
    <w:p w14:paraId="652FFCEF" w14:textId="77777777" w:rsidR="00806D6D" w:rsidRDefault="00806D6D" w:rsidP="00806D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>
        <w:rPr>
          <w:b/>
          <w:bCs/>
        </w:rPr>
        <w:t>Agreements:</w:t>
      </w:r>
    </w:p>
    <w:p w14:paraId="7D075BC0" w14:textId="057E7C5C" w:rsidR="00806D6D" w:rsidRPr="002655D8" w:rsidRDefault="00806D6D" w:rsidP="00806D6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 xml:space="preserve">At least measurement event evaluation based on RRM measurement prediction result will be studied. Direct measurement event prediction is also allowed.   </w:t>
      </w:r>
    </w:p>
    <w:p w14:paraId="1E57C96A" w14:textId="77777777" w:rsidR="00806D6D" w:rsidRPr="002655D8" w:rsidRDefault="00806D6D" w:rsidP="00806D6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 xml:space="preserve">Clarifications on what is being as input should be provided with results  </w:t>
      </w:r>
    </w:p>
    <w:p w14:paraId="28D6BA4E" w14:textId="77777777" w:rsidR="00806D6D" w:rsidRPr="002655D8" w:rsidRDefault="00806D6D" w:rsidP="00806D6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 xml:space="preserve">Start with A3 as a baseline.  </w:t>
      </w:r>
    </w:p>
    <w:p w14:paraId="3A28AA87" w14:textId="5F172DC7" w:rsidR="00806D6D" w:rsidRPr="002655D8" w:rsidRDefault="00806D6D" w:rsidP="005C338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>Measurement event prediction study can start after some further progress on RRM measurement prediction has been made</w:t>
      </w:r>
    </w:p>
    <w:p w14:paraId="3DC743A9" w14:textId="05E44D3A" w:rsidR="00806D6D" w:rsidRDefault="005C338D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This document discusses the </w:t>
      </w:r>
      <w:r w:rsidR="009F08CE">
        <w:rPr>
          <w:rFonts w:ascii="Arial" w:eastAsia="Yu Gothic Medium" w:hAnsi="Arial"/>
          <w:kern w:val="0"/>
          <w:sz w:val="20"/>
          <w:szCs w:val="20"/>
        </w:rPr>
        <w:t xml:space="preserve">scenarios </w:t>
      </w:r>
      <w:r>
        <w:rPr>
          <w:rFonts w:ascii="Arial" w:eastAsia="Yu Gothic Medium" w:hAnsi="Arial"/>
          <w:kern w:val="0"/>
          <w:sz w:val="20"/>
          <w:szCs w:val="20"/>
        </w:rPr>
        <w:t xml:space="preserve">of 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>m</w:t>
      </w:r>
      <w:r w:rsidRPr="00806D6D">
        <w:rPr>
          <w:rFonts w:ascii="Arial" w:eastAsia="Yu Gothic Medium" w:hAnsi="Arial"/>
          <w:kern w:val="0"/>
          <w:sz w:val="20"/>
          <w:szCs w:val="20"/>
          <w:lang w:val="en-US"/>
        </w:rPr>
        <w:t>easurement event predictions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 based on the agreements RAN2 made for this subtopic. </w:t>
      </w:r>
    </w:p>
    <w:p w14:paraId="278E661A" w14:textId="77777777" w:rsidR="005C338D" w:rsidRPr="00123DC1" w:rsidRDefault="005C338D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</w:rPr>
      </w:pPr>
    </w:p>
    <w:p w14:paraId="4CCB8C1B" w14:textId="4D4F4380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3B5C047" w14:textId="0D5752F4" w:rsidR="003B3957" w:rsidRDefault="003B3957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In the last RAN2 meeting, it was agreed that the work of </w:t>
      </w:r>
      <w:r w:rsidRPr="003B3957">
        <w:rPr>
          <w:rFonts w:ascii="Arial" w:eastAsia="Yu Gothic Medium" w:hAnsi="Arial"/>
          <w:kern w:val="0"/>
          <w:sz w:val="20"/>
          <w:szCs w:val="20"/>
        </w:rPr>
        <w:t xml:space="preserve">measurement event </w:t>
      </w:r>
      <w:r>
        <w:rPr>
          <w:rFonts w:ascii="Arial" w:eastAsia="Yu Gothic Medium" w:hAnsi="Arial"/>
          <w:kern w:val="0"/>
          <w:sz w:val="20"/>
          <w:szCs w:val="20"/>
        </w:rPr>
        <w:t xml:space="preserve">prediction </w:t>
      </w:r>
      <w:r w:rsidRPr="003B3957">
        <w:rPr>
          <w:rFonts w:ascii="Arial" w:eastAsia="Yu Gothic Medium" w:hAnsi="Arial"/>
          <w:kern w:val="0"/>
          <w:sz w:val="20"/>
          <w:szCs w:val="20"/>
        </w:rPr>
        <w:t>evaluation</w:t>
      </w:r>
      <w:r>
        <w:rPr>
          <w:rFonts w:ascii="Arial" w:eastAsia="Yu Gothic Medium" w:hAnsi="Arial"/>
          <w:kern w:val="0"/>
          <w:sz w:val="20"/>
          <w:szCs w:val="20"/>
        </w:rPr>
        <w:t xml:space="preserve"> will s</w:t>
      </w:r>
      <w:r w:rsidRPr="003B3957">
        <w:rPr>
          <w:rFonts w:ascii="Arial" w:eastAsia="Yu Gothic Medium" w:hAnsi="Arial"/>
          <w:kern w:val="0"/>
          <w:sz w:val="20"/>
          <w:szCs w:val="20"/>
        </w:rPr>
        <w:t>tart with A3 as a baseline</w:t>
      </w:r>
      <w:r w:rsidR="00C01772">
        <w:rPr>
          <w:rFonts w:ascii="Arial" w:eastAsia="Yu Gothic Medium" w:hAnsi="Arial"/>
          <w:kern w:val="0"/>
          <w:sz w:val="20"/>
          <w:szCs w:val="20"/>
        </w:rPr>
        <w:t xml:space="preserve">. </w:t>
      </w:r>
    </w:p>
    <w:p w14:paraId="781360D1" w14:textId="77777777" w:rsidR="00C01772" w:rsidRDefault="00C01772" w:rsidP="00C0177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As a typical</w:t>
      </w:r>
      <w:r w:rsidRPr="00C01772">
        <w:t xml:space="preserve"> </w:t>
      </w:r>
      <w:r w:rsidRPr="00C01772">
        <w:rPr>
          <w:rFonts w:ascii="Arial" w:eastAsia="Yu Gothic Medium" w:hAnsi="Arial"/>
          <w:kern w:val="0"/>
          <w:sz w:val="20"/>
          <w:szCs w:val="20"/>
        </w:rPr>
        <w:t>cell deployment scenario</w:t>
      </w:r>
      <w:r>
        <w:rPr>
          <w:rFonts w:ascii="Arial" w:eastAsia="Yu Gothic Medium" w:hAnsi="Arial"/>
          <w:kern w:val="0"/>
          <w:sz w:val="20"/>
          <w:szCs w:val="20"/>
        </w:rPr>
        <w:t>, th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e </w:t>
      </w:r>
      <w:r>
        <w:rPr>
          <w:rFonts w:ascii="Arial" w:eastAsia="Yu Gothic Medium" w:hAnsi="Arial"/>
          <w:kern w:val="0"/>
          <w:sz w:val="20"/>
          <w:szCs w:val="20"/>
        </w:rPr>
        <w:t xml:space="preserve">A3 measurement event is particularly useful for </w:t>
      </w:r>
      <w:r>
        <w:rPr>
          <w:rFonts w:ascii="Arial" w:eastAsia="Yu Gothic Medium" w:hAnsi="Arial" w:hint="eastAsia"/>
          <w:kern w:val="0"/>
          <w:sz w:val="20"/>
          <w:szCs w:val="20"/>
        </w:rPr>
        <w:t>homogeneous cell deployments</w:t>
      </w:r>
      <w:r>
        <w:rPr>
          <w:rFonts w:ascii="Arial" w:eastAsia="Yu Gothic Medium" w:hAnsi="Arial"/>
          <w:kern w:val="0"/>
          <w:sz w:val="20"/>
          <w:szCs w:val="20"/>
        </w:rPr>
        <w:t>.</w:t>
      </w:r>
      <w:r w:rsidRPr="00C01772">
        <w:rPr>
          <w:rFonts w:ascii="Arial" w:eastAsia="Yu Gothic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Although </w:t>
      </w:r>
      <w:r>
        <w:rPr>
          <w:rFonts w:ascii="Arial" w:eastAsia="Yu Gothic Medium" w:hAnsi="Arial"/>
          <w:kern w:val="0"/>
          <w:sz w:val="20"/>
          <w:szCs w:val="20"/>
        </w:rPr>
        <w:t xml:space="preserve">A3 measurement event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could also </w:t>
      </w:r>
      <w:r>
        <w:rPr>
          <w:rFonts w:ascii="Arial" w:eastAsia="Yu Gothic Medium" w:hAnsi="Arial"/>
          <w:kern w:val="0"/>
          <w:sz w:val="20"/>
          <w:szCs w:val="20"/>
        </w:rPr>
        <w:t xml:space="preserve">be applicable to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heterogeneous cell deployments, it would be </w:t>
      </w:r>
      <w:r>
        <w:rPr>
          <w:rFonts w:ascii="Arial" w:eastAsia="Yu Gothic Medium" w:hAnsi="Arial"/>
          <w:kern w:val="0"/>
          <w:sz w:val="20"/>
          <w:szCs w:val="20"/>
        </w:rPr>
        <w:t>simple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to basically assume homogeneous cell deployments in this SI.</w:t>
      </w:r>
    </w:p>
    <w:p w14:paraId="77B50FA6" w14:textId="4B848454" w:rsidR="003B3957" w:rsidRDefault="00C01772" w:rsidP="00C0177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-1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RAN2 to consider homogenous cell deployment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scenario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s as baseline for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the study of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measurement event predictions</w:t>
      </w:r>
      <w:r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2E448279" w14:textId="77777777" w:rsidR="00C01772" w:rsidRDefault="00C0177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333A55E1" w14:textId="0930BC94" w:rsidR="00E24B6C" w:rsidRPr="00E24B6C" w:rsidRDefault="00E24B6C" w:rsidP="00F70E5B">
      <w:pPr>
        <w:widowControl/>
        <w:spacing w:before="60" w:after="120" w:line="240" w:lineRule="atLeast"/>
        <w:rPr>
          <w:rFonts w:ascii="Arial" w:eastAsia="Yu Gothic Medium" w:hAnsi="Arial"/>
          <w:bCs/>
          <w:kern w:val="0"/>
          <w:sz w:val="20"/>
          <w:szCs w:val="20"/>
        </w:rPr>
      </w:pPr>
      <w:r w:rsidRPr="00E24B6C">
        <w:rPr>
          <w:rFonts w:ascii="Arial" w:eastAsia="Yu Gothic Medium" w:hAnsi="Arial"/>
          <w:bCs/>
          <w:kern w:val="0"/>
          <w:sz w:val="20"/>
          <w:szCs w:val="20"/>
        </w:rPr>
        <w:t>Although</w:t>
      </w:r>
      <w:r>
        <w:rPr>
          <w:rFonts w:ascii="Arial" w:eastAsia="Yu Gothic Medium" w:hAnsi="Arial"/>
          <w:bCs/>
          <w:kern w:val="0"/>
          <w:sz w:val="20"/>
          <w:szCs w:val="20"/>
        </w:rPr>
        <w:t xml:space="preserve"> at last meeting, the discussion of</w:t>
      </w:r>
      <w:r w:rsidRPr="00E24B6C">
        <w:t xml:space="preserve"> </w:t>
      </w:r>
      <w:r w:rsidRPr="00E24B6C">
        <w:rPr>
          <w:rFonts w:ascii="Arial" w:eastAsia="Yu Gothic Medium" w:hAnsi="Arial"/>
          <w:bCs/>
          <w:kern w:val="0"/>
          <w:sz w:val="20"/>
          <w:szCs w:val="20"/>
        </w:rPr>
        <w:t>measurement event predictions</w:t>
      </w:r>
      <w:r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only </w:t>
      </w:r>
      <w:r>
        <w:rPr>
          <w:rFonts w:ascii="Arial" w:eastAsia="Yu Gothic Medium" w:hAnsi="Arial"/>
          <w:bCs/>
          <w:kern w:val="0"/>
          <w:sz w:val="20"/>
          <w:szCs w:val="20"/>
        </w:rPr>
        <w:t>focused on the occurrence of a certain measurement event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 (e.g. A3, A5, etc)</w:t>
      </w:r>
      <w:r>
        <w:rPr>
          <w:rFonts w:ascii="Arial" w:eastAsia="Yu Gothic Medium" w:hAnsi="Arial"/>
          <w:bCs/>
          <w:kern w:val="0"/>
          <w:sz w:val="20"/>
          <w:szCs w:val="20"/>
        </w:rPr>
        <w:t>, we think the mobility event</w:t>
      </w:r>
      <w:r w:rsidR="00E73DD0" w:rsidRPr="00E73DD0">
        <w:t xml:space="preserve"> </w:t>
      </w:r>
      <w:r w:rsidR="00E73DD0" w:rsidRPr="00E73DD0">
        <w:rPr>
          <w:rFonts w:ascii="Arial" w:eastAsia="Yu Gothic Medium" w:hAnsi="Arial"/>
          <w:bCs/>
          <w:kern w:val="0"/>
          <w:sz w:val="20"/>
          <w:szCs w:val="20"/>
        </w:rPr>
        <w:t>predictions</w:t>
      </w:r>
      <w:r w:rsidR="00E73DD0">
        <w:rPr>
          <w:rFonts w:ascii="Arial" w:eastAsia="Yu Gothic Medium" w:hAnsi="Arial"/>
          <w:bCs/>
          <w:kern w:val="0"/>
          <w:sz w:val="20"/>
          <w:szCs w:val="20"/>
        </w:rPr>
        <w:t xml:space="preserve"> are also in the scope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, since the 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 xml:space="preserve">handover procedure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will be 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 xml:space="preserve">triggered based on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a certain 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>measurement event</w:t>
      </w:r>
      <w:r w:rsidR="00E73DD0">
        <w:rPr>
          <w:rFonts w:ascii="Arial" w:eastAsia="Yu Gothic Medium" w:hAnsi="Arial"/>
          <w:bCs/>
          <w:kern w:val="0"/>
          <w:sz w:val="20"/>
          <w:szCs w:val="20"/>
        </w:rPr>
        <w:t>.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 Correct prediction on a certain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mobility event can not only improve the handover performance but also the system throughput.   </w:t>
      </w:r>
      <w:r w:rsidR="00E73DD0"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bCs/>
          <w:kern w:val="0"/>
          <w:sz w:val="20"/>
          <w:szCs w:val="20"/>
        </w:rPr>
        <w:t xml:space="preserve">  </w:t>
      </w:r>
      <w:r w:rsidRPr="00E24B6C"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</w:p>
    <w:p w14:paraId="5A9FFD67" w14:textId="77777777" w:rsidR="00E24B6C" w:rsidRDefault="00E24B6C" w:rsidP="00F70E5B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</w:p>
    <w:p w14:paraId="3F19B5E8" w14:textId="5E9E3DC8" w:rsidR="00C860A1" w:rsidRDefault="003F1FF3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legacy L3-based HO, there are many events for L3 measurement reporting, e.g. A3 or A5 which </w:t>
      </w:r>
      <w:r>
        <w:rPr>
          <w:rFonts w:ascii="Arial" w:eastAsia="Yu Gothic Medium" w:hAnsi="Arial"/>
          <w:kern w:val="0"/>
          <w:sz w:val="20"/>
          <w:szCs w:val="20"/>
        </w:rPr>
        <w:t>would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be used</w:t>
      </w:r>
      <w:r w:rsidR="008C5DA1">
        <w:rPr>
          <w:rFonts w:ascii="Arial" w:eastAsia="Yu Gothic Medium" w:hAnsi="Arial" w:hint="eastAsia"/>
          <w:kern w:val="0"/>
          <w:sz w:val="20"/>
          <w:szCs w:val="20"/>
        </w:rPr>
        <w:t xml:space="preserve"> normally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for </w:t>
      </w:r>
      <w:r>
        <w:rPr>
          <w:rFonts w:ascii="Arial" w:eastAsia="Yu Gothic Medium" w:hAnsi="Arial"/>
          <w:kern w:val="0"/>
          <w:sz w:val="20"/>
          <w:szCs w:val="20"/>
        </w:rPr>
        <w:t>homogenous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cell deployments. In some </w:t>
      </w:r>
      <w:r>
        <w:rPr>
          <w:rFonts w:ascii="Arial" w:eastAsia="Yu Gothic Medium" w:hAnsi="Arial"/>
          <w:kern w:val="0"/>
          <w:sz w:val="20"/>
          <w:szCs w:val="20"/>
        </w:rPr>
        <w:t>heterogeneous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cell deployments, another event could be useful, e.g. A2</w:t>
      </w:r>
      <w:r w:rsidR="00BC1C40">
        <w:rPr>
          <w:rFonts w:ascii="Arial" w:eastAsia="Yu Gothic Medium" w:hAnsi="Arial" w:hint="eastAsia"/>
          <w:kern w:val="0"/>
          <w:sz w:val="20"/>
          <w:szCs w:val="20"/>
        </w:rPr>
        <w:t xml:space="preserve"> or A4.</w:t>
      </w:r>
      <w:r w:rsidR="00A07B2D">
        <w:rPr>
          <w:rFonts w:ascii="Arial" w:eastAsia="Yu Gothic Medium" w:hAnsi="Arial" w:hint="eastAsia"/>
          <w:kern w:val="0"/>
          <w:sz w:val="20"/>
          <w:szCs w:val="20"/>
        </w:rPr>
        <w:t xml:space="preserve"> These events can work well in the L3 HO based on event triggered L3 measurement reporting in most cases especially when the UE is moving </w:t>
      </w:r>
      <w:r w:rsidR="00A07B2D">
        <w:rPr>
          <w:rFonts w:ascii="Arial" w:eastAsia="Yu Gothic Medium" w:hAnsi="Arial"/>
          <w:kern w:val="0"/>
          <w:sz w:val="20"/>
          <w:szCs w:val="20"/>
        </w:rPr>
        <w:t>slow</w:t>
      </w:r>
      <w:r w:rsidR="00A07B2D">
        <w:rPr>
          <w:rFonts w:ascii="Arial" w:eastAsia="Yu Gothic Medium" w:hAnsi="Arial" w:hint="eastAsia"/>
          <w:kern w:val="0"/>
          <w:sz w:val="20"/>
          <w:szCs w:val="20"/>
        </w:rPr>
        <w:t xml:space="preserve">ly or is </w:t>
      </w:r>
      <w:r w:rsidR="001927B8">
        <w:rPr>
          <w:rFonts w:ascii="Arial" w:eastAsia="Yu Gothic Medium" w:hAnsi="Arial" w:hint="eastAsia"/>
          <w:kern w:val="0"/>
          <w:sz w:val="20"/>
          <w:szCs w:val="20"/>
        </w:rPr>
        <w:t xml:space="preserve">almost </w:t>
      </w:r>
      <w:r w:rsidR="00A07B2D">
        <w:rPr>
          <w:rFonts w:ascii="Arial" w:eastAsia="Yu Gothic Medium" w:hAnsi="Arial" w:hint="eastAsia"/>
          <w:kern w:val="0"/>
          <w:sz w:val="20"/>
          <w:szCs w:val="20"/>
        </w:rPr>
        <w:t xml:space="preserve">stationary. </w:t>
      </w:r>
    </w:p>
    <w:p w14:paraId="19380705" w14:textId="77777777" w:rsidR="005D4BE0" w:rsidRDefault="00A07B2D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However, when the UE is moving faster or cell </w:t>
      </w:r>
      <w:r w:rsidR="0071267F">
        <w:rPr>
          <w:rFonts w:ascii="Arial" w:eastAsia="Yu Gothic Medium" w:hAnsi="Arial" w:hint="eastAsia"/>
          <w:kern w:val="0"/>
          <w:sz w:val="20"/>
          <w:szCs w:val="20"/>
        </w:rPr>
        <w:t>coverages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are not uniformly spread (e.g. cell coverages among neighbouring cells are complicated), the L3 HO based on those events </w:t>
      </w:r>
      <w:r w:rsidR="00F57329">
        <w:rPr>
          <w:rFonts w:ascii="Arial" w:eastAsia="Yu Gothic Medium" w:hAnsi="Arial" w:hint="eastAsia"/>
          <w:kern w:val="0"/>
          <w:sz w:val="20"/>
          <w:szCs w:val="20"/>
        </w:rPr>
        <w:t>might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not work sufficiently well.</w:t>
      </w:r>
      <w:r w:rsidR="00C860A1">
        <w:rPr>
          <w:rFonts w:ascii="Arial" w:eastAsia="Yu Gothic Medium" w:hAnsi="Arial" w:hint="eastAsia"/>
          <w:kern w:val="0"/>
          <w:sz w:val="20"/>
          <w:szCs w:val="20"/>
        </w:rPr>
        <w:t xml:space="preserve"> For example, even though the HO is </w:t>
      </w:r>
      <w:r w:rsidR="00C860A1">
        <w:rPr>
          <w:rFonts w:ascii="Arial" w:eastAsia="Yu Gothic Medium" w:hAnsi="Arial"/>
          <w:kern w:val="0"/>
          <w:sz w:val="20"/>
          <w:szCs w:val="20"/>
        </w:rPr>
        <w:t>successfully</w:t>
      </w:r>
      <w:r w:rsidR="00C860A1">
        <w:rPr>
          <w:rFonts w:ascii="Arial" w:eastAsia="Yu Gothic Medium" w:hAnsi="Arial" w:hint="eastAsia"/>
          <w:kern w:val="0"/>
          <w:sz w:val="20"/>
          <w:szCs w:val="20"/>
        </w:rPr>
        <w:t xml:space="preserve"> performed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>, the UE may stay in the target cell for short period and then perform the HO again. The UE may continue this behaviour subsequently. T</w:t>
      </w:r>
      <w:r w:rsidR="006A045F">
        <w:rPr>
          <w:rFonts w:ascii="Arial" w:eastAsia="Yu Gothic Medium" w:hAnsi="Arial"/>
          <w:kern w:val="0"/>
          <w:sz w:val="20"/>
          <w:szCs w:val="20"/>
        </w:rPr>
        <w:t>h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 xml:space="preserve">e issue is known as </w:t>
      </w:r>
      <w:r w:rsidR="003A72AC">
        <w:rPr>
          <w:rFonts w:ascii="Arial" w:eastAsia="Yu Gothic Medium" w:hAnsi="Arial"/>
          <w:kern w:val="0"/>
          <w:sz w:val="20"/>
          <w:szCs w:val="20"/>
        </w:rPr>
        <w:t>“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>short time of stay</w:t>
      </w:r>
      <w:r w:rsidR="003A72AC">
        <w:rPr>
          <w:rFonts w:ascii="Arial" w:eastAsia="Yu Gothic Medium" w:hAnsi="Arial"/>
          <w:kern w:val="0"/>
          <w:sz w:val="20"/>
          <w:szCs w:val="20"/>
        </w:rPr>
        <w:t>”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 xml:space="preserve"> or frequent HO. </w:t>
      </w:r>
      <w:r w:rsidR="006977DE">
        <w:rPr>
          <w:rFonts w:ascii="Arial" w:eastAsia="Yu Gothic Medium" w:hAnsi="Arial" w:hint="eastAsia"/>
          <w:kern w:val="0"/>
          <w:sz w:val="20"/>
          <w:szCs w:val="20"/>
        </w:rPr>
        <w:t xml:space="preserve">One specific case of frequent HO is a ping-pong HO, where the UE comes back to the source cell right after the HO completion to the target cell. </w:t>
      </w:r>
    </w:p>
    <w:p w14:paraId="0CF585AB" w14:textId="7DA6B061" w:rsidR="006409F8" w:rsidRDefault="006A045F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lastRenderedPageBreak/>
        <w:t xml:space="preserve">In </w:t>
      </w:r>
      <w:r w:rsidR="005D4BE0">
        <w:rPr>
          <w:rFonts w:ascii="Arial" w:eastAsia="Yu Gothic Medium" w:hAnsi="Arial"/>
          <w:kern w:val="0"/>
          <w:sz w:val="20"/>
          <w:szCs w:val="20"/>
        </w:rPr>
        <w:t>the abovementioned mobility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scenarios, the UE may be able to stay in the source cell for some more time and skip </w:t>
      </w:r>
      <w:r w:rsidR="007325B2">
        <w:rPr>
          <w:rFonts w:ascii="Arial" w:eastAsia="Yu Gothic Medium" w:hAnsi="Arial" w:hint="eastAsia"/>
          <w:kern w:val="0"/>
          <w:sz w:val="20"/>
          <w:szCs w:val="20"/>
        </w:rPr>
        <w:t xml:space="preserve">one </w:t>
      </w:r>
      <w:r>
        <w:rPr>
          <w:rFonts w:ascii="Arial" w:eastAsia="Yu Gothic Medium" w:hAnsi="Arial" w:hint="eastAsia"/>
          <w:kern w:val="0"/>
          <w:sz w:val="20"/>
          <w:szCs w:val="20"/>
        </w:rPr>
        <w:t>HO procedure</w:t>
      </w:r>
      <w:r w:rsidR="007325B2">
        <w:rPr>
          <w:rFonts w:ascii="Arial" w:eastAsia="Yu Gothic Medium" w:hAnsi="Arial" w:hint="eastAsia"/>
          <w:kern w:val="0"/>
          <w:sz w:val="20"/>
          <w:szCs w:val="20"/>
        </w:rPr>
        <w:t xml:space="preserve"> causing </w:t>
      </w:r>
      <w:r w:rsidR="00266C11">
        <w:rPr>
          <w:rFonts w:ascii="Arial" w:eastAsia="Yu Gothic Medium" w:hAnsi="Arial" w:hint="eastAsia"/>
          <w:kern w:val="0"/>
          <w:sz w:val="20"/>
          <w:szCs w:val="20"/>
        </w:rPr>
        <w:t xml:space="preserve">the </w:t>
      </w:r>
      <w:r w:rsidR="007325B2">
        <w:rPr>
          <w:rFonts w:ascii="Arial" w:eastAsia="Yu Gothic Medium" w:hAnsi="Arial" w:hint="eastAsia"/>
          <w:kern w:val="0"/>
          <w:sz w:val="20"/>
          <w:szCs w:val="20"/>
        </w:rPr>
        <w:t>short time of stay</w:t>
      </w:r>
      <w:r>
        <w:rPr>
          <w:rFonts w:ascii="Arial" w:eastAsia="Yu Gothic Medium" w:hAnsi="Arial" w:hint="eastAsia"/>
          <w:kern w:val="0"/>
          <w:sz w:val="20"/>
          <w:szCs w:val="20"/>
        </w:rPr>
        <w:t>, if the UE</w:t>
      </w:r>
      <w:r>
        <w:rPr>
          <w:rFonts w:ascii="Arial" w:eastAsia="Yu Gothic Medium" w:hAnsi="Arial"/>
          <w:kern w:val="0"/>
          <w:sz w:val="20"/>
          <w:szCs w:val="20"/>
        </w:rPr>
        <w:t>’</w:t>
      </w:r>
      <w:r>
        <w:rPr>
          <w:rFonts w:ascii="Arial" w:eastAsia="Yu Gothic Medium" w:hAnsi="Arial" w:hint="eastAsia"/>
          <w:kern w:val="0"/>
          <w:sz w:val="20"/>
          <w:szCs w:val="20"/>
        </w:rPr>
        <w:t>s mobility can be predicted in advance.</w:t>
      </w:r>
      <w:r w:rsidR="00D244D1">
        <w:rPr>
          <w:rFonts w:ascii="Arial" w:eastAsia="Yu Gothic Medium" w:hAnsi="Arial" w:hint="eastAsia"/>
          <w:kern w:val="0"/>
          <w:sz w:val="20"/>
          <w:szCs w:val="20"/>
        </w:rPr>
        <w:t xml:space="preserve"> Note that another well</w:t>
      </w:r>
      <w:r w:rsidR="00266C11">
        <w:rPr>
          <w:rFonts w:ascii="Arial" w:eastAsia="Yu Gothic Medium" w:hAnsi="Arial" w:hint="eastAsia"/>
          <w:kern w:val="0"/>
          <w:sz w:val="20"/>
          <w:szCs w:val="20"/>
        </w:rPr>
        <w:t>-</w:t>
      </w:r>
      <w:r w:rsidR="00D244D1">
        <w:rPr>
          <w:rFonts w:ascii="Arial" w:eastAsia="Yu Gothic Medium" w:hAnsi="Arial" w:hint="eastAsia"/>
          <w:kern w:val="0"/>
          <w:sz w:val="20"/>
          <w:szCs w:val="20"/>
        </w:rPr>
        <w:t xml:space="preserve">known problem is HO failure or RLF </w:t>
      </w:r>
      <w:r w:rsidR="00266C11">
        <w:rPr>
          <w:rFonts w:ascii="Arial" w:eastAsia="Yu Gothic Medium" w:hAnsi="Arial" w:hint="eastAsia"/>
          <w:kern w:val="0"/>
          <w:sz w:val="20"/>
          <w:szCs w:val="20"/>
        </w:rPr>
        <w:t>during</w:t>
      </w:r>
      <w:r w:rsidR="002F0A51">
        <w:rPr>
          <w:rFonts w:ascii="Arial" w:eastAsia="Yu Gothic Medium" w:hAnsi="Arial" w:hint="eastAsia"/>
          <w:kern w:val="0"/>
          <w:sz w:val="20"/>
          <w:szCs w:val="20"/>
        </w:rPr>
        <w:t xml:space="preserve"> the L3 HO and it is to be discussed separately (AI. 8.3.4 HOF/RLF prediction).</w:t>
      </w:r>
    </w:p>
    <w:p w14:paraId="65739669" w14:textId="77777777" w:rsidR="00426D61" w:rsidRDefault="00FF7B1D" w:rsidP="00426D61">
      <w:pPr>
        <w:widowControl/>
        <w:spacing w:before="60" w:after="120" w:line="240" w:lineRule="atLeast"/>
        <w:jc w:val="center"/>
        <w:rPr>
          <w:rFonts w:ascii="Arial" w:eastAsia="Yu Gothic Medium" w:hAnsi="Arial"/>
          <w:b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noProof/>
          <w:kern w:val="0"/>
          <w:sz w:val="20"/>
          <w:szCs w:val="20"/>
          <w14:ligatures w14:val="standardContextual"/>
        </w:rPr>
        <w:drawing>
          <wp:inline distT="0" distB="0" distL="0" distR="0" wp14:anchorId="06E4F0AA" wp14:editId="35ECDD57">
            <wp:extent cx="3420745" cy="1325880"/>
            <wp:effectExtent l="0" t="0" r="8255" b="7620"/>
            <wp:docPr id="2088176530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7DDB3" w14:textId="6C4BBEAB" w:rsidR="00426D61" w:rsidRDefault="00426D61" w:rsidP="00426D61">
      <w:pPr>
        <w:widowControl/>
        <w:spacing w:before="60" w:after="120" w:line="240" w:lineRule="atLeast"/>
        <w:jc w:val="center"/>
        <w:rPr>
          <w:rFonts w:ascii="Arial" w:eastAsia="Yu Gothic Medium" w:hAnsi="Arial"/>
          <w:b/>
          <w:kern w:val="0"/>
          <w:sz w:val="20"/>
          <w:szCs w:val="20"/>
        </w:rPr>
      </w:pPr>
      <w:r w:rsidRPr="00E07458">
        <w:rPr>
          <w:rFonts w:ascii="Arial" w:eastAsia="Yu Gothic Medium" w:hAnsi="Arial"/>
          <w:b/>
          <w:bCs/>
          <w:kern w:val="0"/>
          <w:sz w:val="20"/>
          <w:szCs w:val="20"/>
        </w:rPr>
        <w:t>Fig.1: short time of stay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example (Cell 01-&gt;11-&gt;02-&gt;21)</w:t>
      </w:r>
    </w:p>
    <w:p w14:paraId="40AE6F60" w14:textId="77777777" w:rsidR="00426D61" w:rsidRDefault="00426D61" w:rsidP="007C0382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</w:p>
    <w:p w14:paraId="41DED5A1" w14:textId="5B0284D2" w:rsidR="007C0382" w:rsidRDefault="007C0382" w:rsidP="007C0382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 w:rsidR="00426D61">
        <w:rPr>
          <w:rFonts w:ascii="Arial" w:eastAsia="Yu Gothic Medium" w:hAnsi="Arial"/>
          <w:b/>
          <w:kern w:val="0"/>
          <w:sz w:val="20"/>
          <w:szCs w:val="20"/>
        </w:rPr>
        <w:t>-</w:t>
      </w:r>
      <w:r w:rsidR="005D6832">
        <w:rPr>
          <w:rFonts w:ascii="Arial" w:eastAsia="Yu Gothic Medium" w:hAnsi="Arial"/>
          <w:b/>
          <w:kern w:val="0"/>
          <w:sz w:val="20"/>
          <w:szCs w:val="20"/>
        </w:rPr>
        <w:t>2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RAN2 to consider at least </w:t>
      </w:r>
      <w:r w:rsidR="00A20AE8">
        <w:rPr>
          <w:rFonts w:ascii="Arial" w:eastAsia="Yu Gothic Medium" w:hAnsi="Arial" w:hint="eastAsia"/>
          <w:b/>
          <w:kern w:val="0"/>
          <w:sz w:val="20"/>
          <w:szCs w:val="20"/>
        </w:rPr>
        <w:t xml:space="preserve">the </w:t>
      </w:r>
      <w:r w:rsidR="00CC16E9">
        <w:rPr>
          <w:rFonts w:ascii="Arial" w:eastAsia="Yu Gothic Medium" w:hAnsi="Arial" w:hint="eastAsia"/>
          <w:b/>
          <w:kern w:val="0"/>
          <w:sz w:val="20"/>
          <w:szCs w:val="20"/>
        </w:rPr>
        <w:t>short time of stay</w:t>
      </w:r>
      <w:r w:rsidR="00B30BD0">
        <w:rPr>
          <w:rFonts w:ascii="Arial" w:eastAsia="Yu Gothic Medium" w:hAnsi="Arial" w:hint="eastAsia"/>
          <w:b/>
          <w:kern w:val="0"/>
          <w:sz w:val="20"/>
          <w:szCs w:val="20"/>
        </w:rPr>
        <w:t xml:space="preserve"> </w:t>
      </w:r>
      <w:r w:rsidR="00CF79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scenario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as target scenario</w:t>
      </w:r>
      <w:r w:rsidR="008403B1">
        <w:rPr>
          <w:rFonts w:ascii="Arial" w:eastAsia="Yu Gothic Medium" w:hAnsi="Arial"/>
          <w:b/>
          <w:kern w:val="0"/>
          <w:sz w:val="20"/>
          <w:szCs w:val="20"/>
        </w:rPr>
        <w:t xml:space="preserve">, for </w:t>
      </w:r>
      <w:r w:rsidR="00506CEC">
        <w:rPr>
          <w:rFonts w:ascii="Arial" w:eastAsia="Yu Gothic Medium" w:hAnsi="Arial"/>
          <w:b/>
          <w:kern w:val="0"/>
          <w:sz w:val="20"/>
          <w:szCs w:val="20"/>
        </w:rPr>
        <w:t>mobility</w:t>
      </w:r>
      <w:r w:rsidR="008403B1">
        <w:rPr>
          <w:rFonts w:ascii="Arial" w:eastAsia="Yu Gothic Medium" w:hAnsi="Arial"/>
          <w:b/>
          <w:kern w:val="0"/>
          <w:sz w:val="20"/>
          <w:szCs w:val="20"/>
        </w:rPr>
        <w:t xml:space="preserve"> event prediction</w:t>
      </w:r>
      <w:r w:rsidR="00CC16E9"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506C4D41" w14:textId="5DB36FE8" w:rsidR="00426D61" w:rsidRDefault="00426D61" w:rsidP="00426D61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</w:t>
      </w:r>
      <w:r w:rsidR="005D6832">
        <w:rPr>
          <w:rFonts w:ascii="Arial" w:eastAsia="Yu Gothic Medium" w:hAnsi="Arial"/>
          <w:b/>
          <w:kern w:val="0"/>
          <w:sz w:val="20"/>
          <w:szCs w:val="20"/>
        </w:rPr>
        <w:t>2</w:t>
      </w:r>
      <w:r w:rsidR="00506CEC">
        <w:rPr>
          <w:rFonts w:ascii="Arial" w:eastAsia="Yu Gothic Medium" w:hAnsi="Arial"/>
          <w:b/>
          <w:kern w:val="0"/>
          <w:sz w:val="20"/>
          <w:szCs w:val="20"/>
        </w:rPr>
        <w:t>a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he short time of stay scenario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can be further broken down to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frequent HO and ping-pong HO as target scenarios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, </w:t>
      </w:r>
      <w:r w:rsidR="00506CEC">
        <w:rPr>
          <w:rFonts w:ascii="Arial" w:eastAsia="Yu Gothic Medium" w:hAnsi="Arial"/>
          <w:b/>
          <w:kern w:val="0"/>
          <w:sz w:val="20"/>
          <w:szCs w:val="20"/>
        </w:rPr>
        <w:t>for mobility event prediction</w:t>
      </w:r>
      <w:r w:rsidR="00506CEC"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5A7D26B8" w14:textId="77777777" w:rsidR="00426D61" w:rsidRDefault="00426D61" w:rsidP="00D3143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54D4768D" w14:textId="10B74DDA" w:rsidR="005D6832" w:rsidRDefault="005D6832" w:rsidP="005D6832">
      <w:pPr>
        <w:spacing w:before="120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During the email discussion for RRM measurement predictions, there are discussions on how to define</w:t>
      </w:r>
      <w:r w:rsidRPr="00CB000E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 xml:space="preserve">a </w:t>
      </w:r>
      <w:r w:rsidRPr="00CB000E">
        <w:rPr>
          <w:rFonts w:ascii="Arial" w:eastAsia="Yu Gothic Medium" w:hAnsi="Arial"/>
          <w:kern w:val="0"/>
          <w:sz w:val="20"/>
          <w:szCs w:val="20"/>
        </w:rPr>
        <w:t>prediction accuracy metric</w:t>
      </w:r>
      <w:r>
        <w:rPr>
          <w:rFonts w:ascii="Arial" w:eastAsia="Yu Gothic Medium" w:hAnsi="Arial"/>
          <w:kern w:val="0"/>
          <w:sz w:val="20"/>
          <w:szCs w:val="20"/>
        </w:rPr>
        <w:t xml:space="preserve">. The </w:t>
      </w:r>
      <w:r w:rsidRPr="00CB000E">
        <w:rPr>
          <w:rFonts w:ascii="Arial" w:eastAsia="Yu Gothic Medium" w:hAnsi="Arial"/>
          <w:kern w:val="0"/>
          <w:sz w:val="20"/>
          <w:szCs w:val="20"/>
        </w:rPr>
        <w:t>RSRP difference</w:t>
      </w:r>
      <w:r>
        <w:rPr>
          <w:rFonts w:ascii="Arial" w:eastAsia="Yu Gothic Medium" w:hAnsi="Arial"/>
          <w:kern w:val="0"/>
          <w:sz w:val="20"/>
          <w:szCs w:val="20"/>
        </w:rPr>
        <w:t xml:space="preserve"> is assumed to be</w:t>
      </w:r>
      <w:r w:rsidRPr="00CB000E">
        <w:rPr>
          <w:rFonts w:ascii="Arial" w:eastAsia="Yu Gothic Medium" w:hAnsi="Arial"/>
          <w:kern w:val="0"/>
          <w:sz w:val="20"/>
          <w:szCs w:val="20"/>
        </w:rPr>
        <w:t xml:space="preserve"> </w:t>
      </w:r>
      <w:bookmarkStart w:id="0" w:name="_Hlk166086923"/>
      <w:r>
        <w:rPr>
          <w:rFonts w:ascii="Arial" w:eastAsia="Yu Gothic Medium" w:hAnsi="Arial"/>
          <w:kern w:val="0"/>
          <w:sz w:val="20"/>
          <w:szCs w:val="20"/>
        </w:rPr>
        <w:t xml:space="preserve">the </w:t>
      </w:r>
      <w:r w:rsidRPr="00CB000E">
        <w:rPr>
          <w:rFonts w:ascii="Arial" w:eastAsia="Yu Gothic Medium" w:hAnsi="Arial"/>
          <w:kern w:val="0"/>
          <w:sz w:val="20"/>
          <w:szCs w:val="20"/>
        </w:rPr>
        <w:t>prediction accuracy metric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bookmarkEnd w:id="0"/>
      <w:r>
        <w:rPr>
          <w:rFonts w:ascii="Arial" w:eastAsia="Yu Gothic Medium" w:hAnsi="Arial"/>
          <w:kern w:val="0"/>
          <w:sz w:val="20"/>
          <w:szCs w:val="20"/>
        </w:rPr>
        <w:t xml:space="preserve">for RRM measurement. For measurement event prediction and mobility event prediction, we may use a bit different </w:t>
      </w:r>
      <w:r w:rsidRPr="00CB000E">
        <w:rPr>
          <w:rFonts w:ascii="Arial" w:eastAsia="Yu Gothic Medium" w:hAnsi="Arial"/>
          <w:kern w:val="0"/>
          <w:sz w:val="20"/>
          <w:szCs w:val="20"/>
        </w:rPr>
        <w:t>metric</w:t>
      </w:r>
      <w:r>
        <w:rPr>
          <w:rFonts w:ascii="Arial" w:eastAsia="Yu Gothic Medium" w:hAnsi="Arial"/>
          <w:kern w:val="0"/>
          <w:sz w:val="20"/>
          <w:szCs w:val="20"/>
        </w:rPr>
        <w:t xml:space="preserve"> to weigh the</w:t>
      </w:r>
      <w:r w:rsidRPr="00CB000E">
        <w:rPr>
          <w:rFonts w:ascii="Arial" w:eastAsia="Yu Gothic Medium" w:hAnsi="Arial"/>
          <w:kern w:val="0"/>
          <w:sz w:val="20"/>
          <w:szCs w:val="20"/>
        </w:rPr>
        <w:t xml:space="preserve"> prediction accuracy</w:t>
      </w:r>
      <w:r>
        <w:rPr>
          <w:rFonts w:ascii="Arial" w:eastAsia="Yu Gothic Medium" w:hAnsi="Arial"/>
          <w:kern w:val="0"/>
          <w:sz w:val="20"/>
          <w:szCs w:val="20"/>
        </w:rPr>
        <w:t xml:space="preserve">. Since measurement event or mobility event occurs at a certain timeframe, one of the possible metric can be considering the </w:t>
      </w:r>
      <w:r w:rsidRPr="00F70E5B">
        <w:rPr>
          <w:rFonts w:ascii="Arial" w:eastAsia="Yu Gothic Medium" w:hAnsi="Arial" w:hint="eastAsia"/>
          <w:kern w:val="0"/>
          <w:sz w:val="20"/>
          <w:szCs w:val="20"/>
        </w:rPr>
        <w:t xml:space="preserve">timing difference </w:t>
      </w:r>
      <w:r>
        <w:rPr>
          <w:rFonts w:ascii="Arial" w:eastAsia="Yu Gothic Medium" w:hAnsi="Arial"/>
          <w:kern w:val="0"/>
          <w:sz w:val="20"/>
          <w:szCs w:val="20"/>
        </w:rPr>
        <w:t xml:space="preserve">between the predicted occurrence of the measurement event or HO event and the </w:t>
      </w:r>
      <w:r w:rsidRPr="00F70E5B">
        <w:rPr>
          <w:rFonts w:ascii="Arial" w:eastAsia="Yu Gothic Medium" w:hAnsi="Arial" w:hint="eastAsia"/>
          <w:kern w:val="0"/>
          <w:sz w:val="20"/>
          <w:szCs w:val="20"/>
        </w:rPr>
        <w:t xml:space="preserve">real time of the </w:t>
      </w:r>
      <w:r>
        <w:rPr>
          <w:rFonts w:ascii="Arial" w:eastAsia="Yu Gothic Medium" w:hAnsi="Arial"/>
          <w:kern w:val="0"/>
          <w:sz w:val="20"/>
          <w:szCs w:val="20"/>
        </w:rPr>
        <w:t xml:space="preserve">occurrence of the </w:t>
      </w:r>
      <w:r w:rsidRPr="00F70E5B">
        <w:rPr>
          <w:rFonts w:ascii="Arial" w:eastAsia="Yu Gothic Medium" w:hAnsi="Arial" w:hint="eastAsia"/>
          <w:kern w:val="0"/>
          <w:sz w:val="20"/>
          <w:szCs w:val="20"/>
        </w:rPr>
        <w:t>event</w:t>
      </w:r>
      <w:r>
        <w:rPr>
          <w:rFonts w:ascii="Arial" w:eastAsia="Yu Gothic Medium" w:hAnsi="Arial"/>
          <w:kern w:val="0"/>
          <w:sz w:val="20"/>
          <w:szCs w:val="20"/>
        </w:rPr>
        <w:t>. At some extreme case, the</w:t>
      </w:r>
      <w:r w:rsidRPr="00CC543A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>predicted occurrence of the event may never happen, so then basically, the occurrence of the</w:t>
      </w:r>
      <w:r w:rsidRPr="00CC543A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 xml:space="preserve">event should be also one of the metrics. A </w:t>
      </w:r>
      <w:r w:rsidRPr="005D6832">
        <w:rPr>
          <w:rFonts w:ascii="Arial" w:eastAsia="Yu Gothic Medium" w:hAnsi="Arial"/>
          <w:kern w:val="0"/>
          <w:sz w:val="20"/>
          <w:szCs w:val="20"/>
        </w:rPr>
        <w:t>CDF</w:t>
      </w:r>
      <w:r>
        <w:rPr>
          <w:rFonts w:ascii="Arial" w:eastAsia="Yu Gothic Medium" w:hAnsi="Arial"/>
          <w:kern w:val="0"/>
          <w:sz w:val="20"/>
          <w:szCs w:val="20"/>
        </w:rPr>
        <w:t xml:space="preserve"> curve may be used to express the trend of the</w:t>
      </w:r>
      <w:r w:rsidRPr="005D6832">
        <w:rPr>
          <w:rFonts w:ascii="Arial" w:eastAsia="Yu Gothic Medium" w:hAnsi="Arial"/>
          <w:kern w:val="0"/>
          <w:sz w:val="20"/>
          <w:szCs w:val="20"/>
        </w:rPr>
        <w:t xml:space="preserve"> tim</w:t>
      </w:r>
      <w:r>
        <w:rPr>
          <w:rFonts w:ascii="Arial" w:eastAsia="Yu Gothic Medium" w:hAnsi="Arial"/>
          <w:kern w:val="0"/>
          <w:sz w:val="20"/>
          <w:szCs w:val="20"/>
        </w:rPr>
        <w:t>ing</w:t>
      </w:r>
      <w:r w:rsidRPr="005D6832">
        <w:rPr>
          <w:rFonts w:ascii="Arial" w:eastAsia="Yu Gothic Medium" w:hAnsi="Arial"/>
          <w:kern w:val="0"/>
          <w:sz w:val="20"/>
          <w:szCs w:val="20"/>
        </w:rPr>
        <w:t xml:space="preserve"> difference</w:t>
      </w:r>
      <w:r>
        <w:rPr>
          <w:rFonts w:ascii="Arial" w:eastAsia="Yu Gothic Medium" w:hAnsi="Arial"/>
          <w:kern w:val="0"/>
          <w:sz w:val="20"/>
          <w:szCs w:val="20"/>
        </w:rPr>
        <w:t xml:space="preserve"> for multiple instances of event predictions. </w:t>
      </w:r>
    </w:p>
    <w:p w14:paraId="75D4DD8E" w14:textId="77777777" w:rsidR="005D6832" w:rsidRDefault="005D6832" w:rsidP="005D6832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</w:p>
    <w:p w14:paraId="3F6F1BEA" w14:textId="6EB0759E" w:rsidR="005D6832" w:rsidRDefault="005D6832" w:rsidP="005D683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-</w:t>
      </w:r>
      <w:r>
        <w:rPr>
          <w:rFonts w:ascii="Arial" w:eastAsia="Yu Gothic Medium" w:hAnsi="Arial"/>
          <w:b/>
          <w:kern w:val="0"/>
          <w:sz w:val="20"/>
          <w:szCs w:val="20"/>
        </w:rPr>
        <w:t>3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The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occurrence of the event,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timing difference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between the predicted occurrence of the event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real time of the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occurrence of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event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can be defined as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the prediction accuracy metric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for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measurement event </w:t>
      </w:r>
      <w:r w:rsidR="00346E23">
        <w:rPr>
          <w:rFonts w:ascii="Arial" w:eastAsia="Yu Gothic Medium" w:hAnsi="Arial"/>
          <w:b/>
          <w:kern w:val="0"/>
          <w:sz w:val="20"/>
          <w:szCs w:val="20"/>
        </w:rPr>
        <w:t>(and mobility event)</w:t>
      </w:r>
      <w:r w:rsidR="00346E23"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predictions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12F825F2" w14:textId="77777777" w:rsidR="005D6832" w:rsidRDefault="005D6832" w:rsidP="00D3143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7953E0AE" w14:textId="0AFA7030" w:rsidR="00EA2522" w:rsidRPr="00123DC1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 we discussed </w:t>
      </w:r>
      <w:r w:rsidR="00C61BA6" w:rsidRPr="00C61BA6">
        <w:rPr>
          <w:rFonts w:ascii="Arial" w:eastAsia="Yu Gothic Medium" w:hAnsi="Arial"/>
          <w:kern w:val="0"/>
          <w:sz w:val="20"/>
          <w:szCs w:val="20"/>
        </w:rPr>
        <w:t xml:space="preserve">target scenarios </w:t>
      </w:r>
      <w:r w:rsidR="00C61BA6">
        <w:rPr>
          <w:rFonts w:ascii="Arial" w:eastAsia="Yu Gothic Medium" w:hAnsi="Arial" w:hint="eastAsia"/>
          <w:kern w:val="0"/>
          <w:sz w:val="20"/>
          <w:szCs w:val="20"/>
        </w:rPr>
        <w:t xml:space="preserve">for measurement event prediction </w:t>
      </w:r>
      <w:r w:rsidR="00C61BA6" w:rsidRPr="00C61BA6">
        <w:rPr>
          <w:rFonts w:ascii="Arial" w:eastAsia="Yu Gothic Medium" w:hAnsi="Arial"/>
          <w:kern w:val="0"/>
          <w:sz w:val="20"/>
          <w:szCs w:val="20"/>
        </w:rPr>
        <w:t>and possible framework</w:t>
      </w:r>
      <w:r w:rsidR="00C61BA6">
        <w:rPr>
          <w:rFonts w:ascii="Arial" w:eastAsia="Yu Gothic Medium" w:hAnsi="Arial" w:hint="eastAsia"/>
          <w:kern w:val="0"/>
          <w:sz w:val="20"/>
          <w:szCs w:val="20"/>
        </w:rPr>
        <w:t xml:space="preserve"> and </w:t>
      </w:r>
      <w:r w:rsidR="00C830A2">
        <w:rPr>
          <w:rFonts w:ascii="Arial" w:eastAsia="Yu Gothic Medium" w:hAnsi="Arial" w:hint="eastAsia"/>
          <w:kern w:val="0"/>
          <w:sz w:val="20"/>
          <w:szCs w:val="20"/>
        </w:rPr>
        <w:t xml:space="preserve">then </w:t>
      </w:r>
      <w:r w:rsidR="00C61BA6">
        <w:rPr>
          <w:rFonts w:ascii="Arial" w:eastAsia="Yu Gothic Medium" w:hAnsi="Arial" w:hint="eastAsia"/>
          <w:kern w:val="0"/>
          <w:sz w:val="20"/>
          <w:szCs w:val="20"/>
        </w:rPr>
        <w:t>made the following proposals</w:t>
      </w:r>
      <w:r w:rsidR="00C61BA6" w:rsidRPr="00C61BA6">
        <w:rPr>
          <w:rFonts w:ascii="Arial" w:eastAsia="Yu Gothic Medium" w:hAnsi="Arial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1B2C9CCD" w14:textId="700C6978" w:rsidR="00EA2522" w:rsidRDefault="006D18FF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-1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RAN2 to consider homogenous cell deployment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scenario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s as baseline for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the study of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measurement event predictions</w:t>
      </w:r>
      <w:r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65ADF661" w14:textId="46EAE611" w:rsidR="000F3382" w:rsidRDefault="000F3382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-2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RAN2 to consider at least the short time of stay scenario as target scenario</w:t>
      </w:r>
      <w:r>
        <w:rPr>
          <w:rFonts w:ascii="Arial" w:eastAsia="Yu Gothic Medium" w:hAnsi="Arial"/>
          <w:b/>
          <w:kern w:val="0"/>
          <w:sz w:val="20"/>
          <w:szCs w:val="20"/>
        </w:rPr>
        <w:t>, for mobility event prediction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5DD1C798" w14:textId="6A6B2D20" w:rsidR="000F3382" w:rsidRPr="00123DC1" w:rsidRDefault="000F3382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-2a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he short time of stay scenario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can be further broken down to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frequent HO and ping-pong HO as target scenarios</w:t>
      </w:r>
      <w:r>
        <w:rPr>
          <w:rFonts w:ascii="Arial" w:eastAsia="Yu Gothic Medium" w:hAnsi="Arial"/>
          <w:b/>
          <w:kern w:val="0"/>
          <w:sz w:val="20"/>
          <w:szCs w:val="20"/>
        </w:rPr>
        <w:t>, for mobility event prediction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6C486627" w14:textId="399CBF64" w:rsidR="006D18FF" w:rsidRPr="00CC543A" w:rsidRDefault="006D18FF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-</w:t>
      </w:r>
      <w:r w:rsidR="000F3382">
        <w:rPr>
          <w:rFonts w:ascii="Arial" w:eastAsia="Yu Gothic Medium" w:hAnsi="Arial"/>
          <w:b/>
          <w:kern w:val="0"/>
          <w:sz w:val="20"/>
          <w:szCs w:val="20"/>
        </w:rPr>
        <w:t>3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The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occurrence of the event,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timing difference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between the predicted occurrence of the event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real time of the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occurrence of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event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can be defined as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the prediction accuracy metric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for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measurement event</w:t>
      </w:r>
      <w:r w:rsidR="00346E23">
        <w:rPr>
          <w:rFonts w:ascii="Arial" w:eastAsia="Yu Gothic Medium" w:hAnsi="Arial"/>
          <w:b/>
          <w:kern w:val="0"/>
          <w:sz w:val="20"/>
          <w:szCs w:val="20"/>
        </w:rPr>
        <w:t xml:space="preserve"> (and mobility event)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 predictions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lastRenderedPageBreak/>
        <w:t>References</w:t>
      </w:r>
    </w:p>
    <w:p w14:paraId="1833529D" w14:textId="3675F28F" w:rsidR="00EA2522" w:rsidRDefault="00EA2522" w:rsidP="00EA2522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bookmarkStart w:id="1" w:name="_Hlk163072923"/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A90BAC">
        <w:rPr>
          <w:rFonts w:ascii="Arial" w:eastAsia="Yu Gothic Medium" w:hAnsi="Arial"/>
          <w:kern w:val="0"/>
          <w:sz w:val="20"/>
          <w:szCs w:val="20"/>
        </w:rPr>
        <w:t>RAN2#125bis meeting minutes</w:t>
      </w:r>
    </w:p>
    <w:p w14:paraId="6D6BB239" w14:textId="6CAEABB7" w:rsidR="00A90BAC" w:rsidRPr="00123DC1" w:rsidRDefault="00A90BAC" w:rsidP="00EA2522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[2] R2-2403214 </w:t>
      </w:r>
      <w:r w:rsidRPr="00A90BAC">
        <w:rPr>
          <w:rFonts w:ascii="Arial" w:eastAsia="Yu Gothic Medium" w:hAnsi="Arial"/>
          <w:kern w:val="0"/>
          <w:sz w:val="20"/>
          <w:szCs w:val="20"/>
        </w:rPr>
        <w:t>Target scenarios for measurement event prediction</w:t>
      </w:r>
    </w:p>
    <w:bookmarkEnd w:id="1"/>
    <w:p w14:paraId="03F4FCF2" w14:textId="77777777" w:rsidR="00EA2522" w:rsidRPr="00123DC1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382E4744" w14:textId="77777777" w:rsidR="00A60B3D" w:rsidRPr="00123DC1" w:rsidRDefault="00A60B3D">
      <w:pPr>
        <w:rPr>
          <w:rFonts w:eastAsia="Yu Gothic Medium"/>
        </w:rPr>
      </w:pPr>
    </w:p>
    <w:sectPr w:rsidR="00A60B3D" w:rsidRPr="00123DC1" w:rsidSect="00A56F8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2D978" w14:textId="77777777" w:rsidR="00A56F87" w:rsidRDefault="00A56F87" w:rsidP="00EA2522">
      <w:r>
        <w:separator/>
      </w:r>
    </w:p>
  </w:endnote>
  <w:endnote w:type="continuationSeparator" w:id="0">
    <w:p w14:paraId="30E9AF29" w14:textId="77777777" w:rsidR="00A56F87" w:rsidRDefault="00A56F87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Medium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3C0E" w14:textId="77777777" w:rsidR="00A56F87" w:rsidRDefault="00A56F87" w:rsidP="00EA2522">
      <w:r>
        <w:separator/>
      </w:r>
    </w:p>
  </w:footnote>
  <w:footnote w:type="continuationSeparator" w:id="0">
    <w:p w14:paraId="27D2BC4A" w14:textId="77777777" w:rsidR="00A56F87" w:rsidRDefault="00A56F87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93CAD"/>
    <w:multiLevelType w:val="hybridMultilevel"/>
    <w:tmpl w:val="E9981D82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B138EB"/>
    <w:multiLevelType w:val="hybridMultilevel"/>
    <w:tmpl w:val="8D5A62AA"/>
    <w:lvl w:ilvl="0" w:tplc="58C6064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055FC4"/>
    <w:multiLevelType w:val="hybridMultilevel"/>
    <w:tmpl w:val="5B4E2E18"/>
    <w:lvl w:ilvl="0" w:tplc="58C60648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aiueoFullWidth"/>
      <w:lvlText w:val="(%2)"/>
      <w:lvlJc w:val="left"/>
      <w:pPr>
        <w:ind w:left="13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aiueoFullWidth"/>
      <w:lvlText w:val="(%5)"/>
      <w:lvlJc w:val="left"/>
      <w:pPr>
        <w:ind w:left="264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aiueoFullWidth"/>
      <w:lvlText w:val="(%8)"/>
      <w:lvlJc w:val="left"/>
      <w:pPr>
        <w:ind w:left="39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5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5B25742A"/>
    <w:multiLevelType w:val="hybridMultilevel"/>
    <w:tmpl w:val="6DDE7296"/>
    <w:lvl w:ilvl="0" w:tplc="04090015">
      <w:start w:val="1"/>
      <w:numFmt w:val="upperLetter"/>
      <w:lvlText w:val="%1)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num w:numId="1" w16cid:durableId="483158674">
    <w:abstractNumId w:val="0"/>
  </w:num>
  <w:num w:numId="2" w16cid:durableId="1485245558">
    <w:abstractNumId w:val="3"/>
  </w:num>
  <w:num w:numId="3" w16cid:durableId="131363793">
    <w:abstractNumId w:val="6"/>
  </w:num>
  <w:num w:numId="4" w16cid:durableId="2141876713">
    <w:abstractNumId w:val="2"/>
  </w:num>
  <w:num w:numId="5" w16cid:durableId="949050004">
    <w:abstractNumId w:val="4"/>
  </w:num>
  <w:num w:numId="6" w16cid:durableId="1298874269">
    <w:abstractNumId w:val="1"/>
  </w:num>
  <w:num w:numId="7" w16cid:durableId="13019551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675B"/>
    <w:rsid w:val="00037463"/>
    <w:rsid w:val="00060F65"/>
    <w:rsid w:val="00067ED2"/>
    <w:rsid w:val="00072923"/>
    <w:rsid w:val="000A379F"/>
    <w:rsid w:val="000B2CE6"/>
    <w:rsid w:val="000B3971"/>
    <w:rsid w:val="000C046A"/>
    <w:rsid w:val="000C3EA5"/>
    <w:rsid w:val="000C7746"/>
    <w:rsid w:val="000D6F25"/>
    <w:rsid w:val="000E1A64"/>
    <w:rsid w:val="000F17E3"/>
    <w:rsid w:val="000F3382"/>
    <w:rsid w:val="000F366C"/>
    <w:rsid w:val="000F5147"/>
    <w:rsid w:val="001239A1"/>
    <w:rsid w:val="00123DC1"/>
    <w:rsid w:val="001421AE"/>
    <w:rsid w:val="00144E62"/>
    <w:rsid w:val="001504A9"/>
    <w:rsid w:val="001667A9"/>
    <w:rsid w:val="0018299D"/>
    <w:rsid w:val="00185ADE"/>
    <w:rsid w:val="001927B8"/>
    <w:rsid w:val="00197F47"/>
    <w:rsid w:val="001A00E0"/>
    <w:rsid w:val="001B429F"/>
    <w:rsid w:val="001C4655"/>
    <w:rsid w:val="001D1592"/>
    <w:rsid w:val="001D3A54"/>
    <w:rsid w:val="001D3D7A"/>
    <w:rsid w:val="00216EAA"/>
    <w:rsid w:val="00220C04"/>
    <w:rsid w:val="00227305"/>
    <w:rsid w:val="00230D40"/>
    <w:rsid w:val="00232043"/>
    <w:rsid w:val="002351A8"/>
    <w:rsid w:val="0024447F"/>
    <w:rsid w:val="00252A1B"/>
    <w:rsid w:val="002554B8"/>
    <w:rsid w:val="002655D8"/>
    <w:rsid w:val="00266C11"/>
    <w:rsid w:val="0027110C"/>
    <w:rsid w:val="00282A19"/>
    <w:rsid w:val="002862D3"/>
    <w:rsid w:val="00290C5A"/>
    <w:rsid w:val="00294756"/>
    <w:rsid w:val="00297601"/>
    <w:rsid w:val="002B2FEF"/>
    <w:rsid w:val="002D2A47"/>
    <w:rsid w:val="002D4AE7"/>
    <w:rsid w:val="002E2527"/>
    <w:rsid w:val="002F0A51"/>
    <w:rsid w:val="002F3888"/>
    <w:rsid w:val="002F7C2B"/>
    <w:rsid w:val="0030085A"/>
    <w:rsid w:val="00300D66"/>
    <w:rsid w:val="00303389"/>
    <w:rsid w:val="00305C1F"/>
    <w:rsid w:val="003159BA"/>
    <w:rsid w:val="003178BD"/>
    <w:rsid w:val="003277BC"/>
    <w:rsid w:val="00341605"/>
    <w:rsid w:val="00344717"/>
    <w:rsid w:val="003453C4"/>
    <w:rsid w:val="00346E23"/>
    <w:rsid w:val="00351AE5"/>
    <w:rsid w:val="00356D50"/>
    <w:rsid w:val="00357B8D"/>
    <w:rsid w:val="0036710C"/>
    <w:rsid w:val="00374292"/>
    <w:rsid w:val="00383AB3"/>
    <w:rsid w:val="00386506"/>
    <w:rsid w:val="00394F23"/>
    <w:rsid w:val="003A68DE"/>
    <w:rsid w:val="003A72AC"/>
    <w:rsid w:val="003B3957"/>
    <w:rsid w:val="003C06B8"/>
    <w:rsid w:val="003C5AD0"/>
    <w:rsid w:val="003C795A"/>
    <w:rsid w:val="003D5B47"/>
    <w:rsid w:val="003F1FF3"/>
    <w:rsid w:val="00400DB8"/>
    <w:rsid w:val="00402F1A"/>
    <w:rsid w:val="00426D61"/>
    <w:rsid w:val="0049315C"/>
    <w:rsid w:val="004A5897"/>
    <w:rsid w:val="004B6FD6"/>
    <w:rsid w:val="004D5108"/>
    <w:rsid w:val="004E1301"/>
    <w:rsid w:val="00506CEC"/>
    <w:rsid w:val="00512069"/>
    <w:rsid w:val="00530956"/>
    <w:rsid w:val="00547006"/>
    <w:rsid w:val="0055413E"/>
    <w:rsid w:val="00561EED"/>
    <w:rsid w:val="00567374"/>
    <w:rsid w:val="00585620"/>
    <w:rsid w:val="005972E0"/>
    <w:rsid w:val="005C1FB1"/>
    <w:rsid w:val="005C338D"/>
    <w:rsid w:val="005D4BE0"/>
    <w:rsid w:val="005D6832"/>
    <w:rsid w:val="005E7284"/>
    <w:rsid w:val="005F0230"/>
    <w:rsid w:val="00603936"/>
    <w:rsid w:val="006409F8"/>
    <w:rsid w:val="00650E4E"/>
    <w:rsid w:val="006517CD"/>
    <w:rsid w:val="00666528"/>
    <w:rsid w:val="00676D90"/>
    <w:rsid w:val="0069530D"/>
    <w:rsid w:val="006977DE"/>
    <w:rsid w:val="006A045F"/>
    <w:rsid w:val="006A5B46"/>
    <w:rsid w:val="006C0135"/>
    <w:rsid w:val="006C252F"/>
    <w:rsid w:val="006D18FF"/>
    <w:rsid w:val="006D22B9"/>
    <w:rsid w:val="006D6C5B"/>
    <w:rsid w:val="006E1B32"/>
    <w:rsid w:val="006F1A6F"/>
    <w:rsid w:val="006F608B"/>
    <w:rsid w:val="00700E91"/>
    <w:rsid w:val="0071267F"/>
    <w:rsid w:val="007155BD"/>
    <w:rsid w:val="007169AB"/>
    <w:rsid w:val="007325B2"/>
    <w:rsid w:val="0073405E"/>
    <w:rsid w:val="00735696"/>
    <w:rsid w:val="00736FAF"/>
    <w:rsid w:val="007438A9"/>
    <w:rsid w:val="00780942"/>
    <w:rsid w:val="00791B6C"/>
    <w:rsid w:val="007A40CB"/>
    <w:rsid w:val="007A5DC3"/>
    <w:rsid w:val="007B6095"/>
    <w:rsid w:val="007C0382"/>
    <w:rsid w:val="007C18EA"/>
    <w:rsid w:val="007E7275"/>
    <w:rsid w:val="00802BD5"/>
    <w:rsid w:val="00806D6D"/>
    <w:rsid w:val="008307AC"/>
    <w:rsid w:val="008403B1"/>
    <w:rsid w:val="00853A30"/>
    <w:rsid w:val="00861DE3"/>
    <w:rsid w:val="0086345E"/>
    <w:rsid w:val="0086770E"/>
    <w:rsid w:val="00867B6E"/>
    <w:rsid w:val="0087388B"/>
    <w:rsid w:val="00884305"/>
    <w:rsid w:val="00896283"/>
    <w:rsid w:val="008A1593"/>
    <w:rsid w:val="008B1259"/>
    <w:rsid w:val="008B56D7"/>
    <w:rsid w:val="008C5DA1"/>
    <w:rsid w:val="009132B6"/>
    <w:rsid w:val="009133B1"/>
    <w:rsid w:val="0092337A"/>
    <w:rsid w:val="00924849"/>
    <w:rsid w:val="009474B8"/>
    <w:rsid w:val="00950118"/>
    <w:rsid w:val="00972D69"/>
    <w:rsid w:val="00976981"/>
    <w:rsid w:val="009B4634"/>
    <w:rsid w:val="009B50B3"/>
    <w:rsid w:val="009C168F"/>
    <w:rsid w:val="009E1A55"/>
    <w:rsid w:val="009E38AB"/>
    <w:rsid w:val="009E4672"/>
    <w:rsid w:val="009E4C62"/>
    <w:rsid w:val="009E6356"/>
    <w:rsid w:val="009F08CE"/>
    <w:rsid w:val="009F4293"/>
    <w:rsid w:val="00A011EF"/>
    <w:rsid w:val="00A07B2D"/>
    <w:rsid w:val="00A20AE8"/>
    <w:rsid w:val="00A24942"/>
    <w:rsid w:val="00A30AFA"/>
    <w:rsid w:val="00A5605B"/>
    <w:rsid w:val="00A56F87"/>
    <w:rsid w:val="00A60B3D"/>
    <w:rsid w:val="00A73002"/>
    <w:rsid w:val="00A83DD9"/>
    <w:rsid w:val="00A862C7"/>
    <w:rsid w:val="00A90BAC"/>
    <w:rsid w:val="00A9437F"/>
    <w:rsid w:val="00AA6EE2"/>
    <w:rsid w:val="00AE6622"/>
    <w:rsid w:val="00AE6D2A"/>
    <w:rsid w:val="00AF6EB4"/>
    <w:rsid w:val="00B27B57"/>
    <w:rsid w:val="00B30BD0"/>
    <w:rsid w:val="00B30DE7"/>
    <w:rsid w:val="00B35FB6"/>
    <w:rsid w:val="00B43AA8"/>
    <w:rsid w:val="00B57B70"/>
    <w:rsid w:val="00B655D2"/>
    <w:rsid w:val="00B8564C"/>
    <w:rsid w:val="00BA0276"/>
    <w:rsid w:val="00BA2563"/>
    <w:rsid w:val="00BA3CCB"/>
    <w:rsid w:val="00BB019C"/>
    <w:rsid w:val="00BB3A00"/>
    <w:rsid w:val="00BC1C40"/>
    <w:rsid w:val="00BD351E"/>
    <w:rsid w:val="00BD368E"/>
    <w:rsid w:val="00BD5ECC"/>
    <w:rsid w:val="00BE0F7A"/>
    <w:rsid w:val="00BE4423"/>
    <w:rsid w:val="00BE5C5F"/>
    <w:rsid w:val="00BE5D56"/>
    <w:rsid w:val="00C01772"/>
    <w:rsid w:val="00C07A72"/>
    <w:rsid w:val="00C15D67"/>
    <w:rsid w:val="00C21168"/>
    <w:rsid w:val="00C2730A"/>
    <w:rsid w:val="00C414A8"/>
    <w:rsid w:val="00C45735"/>
    <w:rsid w:val="00C520CC"/>
    <w:rsid w:val="00C578D3"/>
    <w:rsid w:val="00C61BA6"/>
    <w:rsid w:val="00C620C7"/>
    <w:rsid w:val="00C66557"/>
    <w:rsid w:val="00C7194A"/>
    <w:rsid w:val="00C8180D"/>
    <w:rsid w:val="00C830A2"/>
    <w:rsid w:val="00C860A1"/>
    <w:rsid w:val="00C93967"/>
    <w:rsid w:val="00C95034"/>
    <w:rsid w:val="00CB000E"/>
    <w:rsid w:val="00CB78AC"/>
    <w:rsid w:val="00CC16E9"/>
    <w:rsid w:val="00CC543A"/>
    <w:rsid w:val="00CC60EE"/>
    <w:rsid w:val="00CC740B"/>
    <w:rsid w:val="00CD17F1"/>
    <w:rsid w:val="00CF62F1"/>
    <w:rsid w:val="00CF79C1"/>
    <w:rsid w:val="00D04BDE"/>
    <w:rsid w:val="00D14821"/>
    <w:rsid w:val="00D17E19"/>
    <w:rsid w:val="00D244D1"/>
    <w:rsid w:val="00D27451"/>
    <w:rsid w:val="00D31432"/>
    <w:rsid w:val="00D54E66"/>
    <w:rsid w:val="00D61820"/>
    <w:rsid w:val="00D77936"/>
    <w:rsid w:val="00D811D7"/>
    <w:rsid w:val="00D84CCC"/>
    <w:rsid w:val="00D86752"/>
    <w:rsid w:val="00D87F1F"/>
    <w:rsid w:val="00DC032B"/>
    <w:rsid w:val="00DC26B2"/>
    <w:rsid w:val="00DD4188"/>
    <w:rsid w:val="00DE2AFF"/>
    <w:rsid w:val="00DE2E8D"/>
    <w:rsid w:val="00DE53B5"/>
    <w:rsid w:val="00DF1893"/>
    <w:rsid w:val="00DF4990"/>
    <w:rsid w:val="00E07458"/>
    <w:rsid w:val="00E1398A"/>
    <w:rsid w:val="00E22FD4"/>
    <w:rsid w:val="00E24B6C"/>
    <w:rsid w:val="00E44C50"/>
    <w:rsid w:val="00E73DD0"/>
    <w:rsid w:val="00E808DE"/>
    <w:rsid w:val="00E879DC"/>
    <w:rsid w:val="00E87EBB"/>
    <w:rsid w:val="00E9247B"/>
    <w:rsid w:val="00E92636"/>
    <w:rsid w:val="00EA0501"/>
    <w:rsid w:val="00EA2522"/>
    <w:rsid w:val="00EB35D0"/>
    <w:rsid w:val="00EE2BA2"/>
    <w:rsid w:val="00EF26CB"/>
    <w:rsid w:val="00F12743"/>
    <w:rsid w:val="00F31F05"/>
    <w:rsid w:val="00F36888"/>
    <w:rsid w:val="00F51868"/>
    <w:rsid w:val="00F520ED"/>
    <w:rsid w:val="00F57329"/>
    <w:rsid w:val="00F70E5B"/>
    <w:rsid w:val="00F77FA7"/>
    <w:rsid w:val="00F84BC6"/>
    <w:rsid w:val="00F85801"/>
    <w:rsid w:val="00FA5566"/>
    <w:rsid w:val="00FA72F3"/>
    <w:rsid w:val="00FB78E1"/>
    <w:rsid w:val="00FC0303"/>
    <w:rsid w:val="00FE1B77"/>
    <w:rsid w:val="00FF71BF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table" w:styleId="TableGrid">
    <w:name w:val="Table Grid"/>
    <w:basedOn w:val="TableNormal"/>
    <w:uiPriority w:val="39"/>
    <w:rsid w:val="005C1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2CE6"/>
    <w:rPr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30D4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230D4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30D40"/>
    <w:rPr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D40"/>
    <w:rPr>
      <w:b/>
      <w:bCs/>
      <w:lang w:val="en-GB"/>
      <w14:ligatures w14:val="none"/>
    </w:rPr>
  </w:style>
  <w:style w:type="character" w:customStyle="1" w:styleId="Doc-text2Char">
    <w:name w:val="Doc-text2 Char"/>
    <w:link w:val="Doc-text2"/>
    <w:qFormat/>
    <w:locked/>
    <w:rsid w:val="00806D6D"/>
    <w:rPr>
      <w:rFonts w:ascii="Calibri" w:eastAsiaTheme="minorHAnsi" w:hAnsi="Calibri" w:cs="Calibri"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806D6D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sz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2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Xuelong Wang</cp:lastModifiedBy>
  <cp:revision>287</cp:revision>
  <dcterms:created xsi:type="dcterms:W3CDTF">2024-03-22T08:20:00Z</dcterms:created>
  <dcterms:modified xsi:type="dcterms:W3CDTF">2024-05-09T12:46:00Z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2024-04-03T14:59:00Z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46189674-5091-411d-8ce1-f2fd865cded0</vt:lpwstr>
  </property>
  <property fmtid="{D5CDD505-2E9C-101B-9397-08002B2CF9AE}" pid="8" name="MSIP_Label_278005ce-31f4-4f90-bc26-ec23758efcb0_ContentBits">
    <vt:lpwstr>0</vt:lpwstr>
  </property>
</Properties>
</file>